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Toc124404959"/>
      <w:bookmarkStart w:id="1" w:name="_Ref38533412"/>
      <w:bookmarkStart w:id="2" w:name="_Ref38291334"/>
      <w:bookmarkStart w:id="3" w:name="_Ref38291223"/>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b/>
          <w:bCs/>
          <w:lang w:val="en-US"/>
        </w:rPr>
        <w:t>IV DALIS</w:t>
      </w:r>
    </w:p>
    <w:p>
      <w:pPr>
        <w:pStyle w:val="Normal"/>
        <w:jc w:val="center"/>
        <w:rPr>
          <w:b/>
          <w:bCs/>
          <w:szCs w:val="24"/>
        </w:rPr>
      </w:pPr>
      <w:r>
        <w:rPr>
          <w:b/>
          <w:bCs/>
        </w:rPr>
        <w:t>MOKYMŲ, TEMA „</w:t>
      </w:r>
      <w:r>
        <w:rPr>
          <w:b/>
          <w:bCs/>
          <w:szCs w:val="24"/>
        </w:rPr>
        <w:t>APLINKOS VEIKSNIŲ POVEIKIS VISUOMENĖS SVEIKATAI IR SVEIKATOS SAUGOS UŽTIKRINIMAS</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4"/>
        <w:gridCol w:w="4799"/>
        <w:gridCol w:w="4255"/>
      </w:tblGrid>
      <w:tr>
        <w:trPr>
          <w:tblHeader w:val="true"/>
          <w:cantSplit w:val="true"/>
        </w:trPr>
        <w:tc>
          <w:tcPr>
            <w:tcW w:w="864"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799" w:type="dxa"/>
            <w:tcBorders/>
            <w:shd w:color="auto" w:fill="DEEAF6" w:themeFill="accent5" w:themeFillTint="33"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themeFill="accent5" w:themeFillTint="33"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4"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799"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4" w:type="dxa"/>
            <w:tcBorders/>
          </w:tcPr>
          <w:p>
            <w:pPr>
              <w:pStyle w:val="Normal"/>
              <w:widowControl/>
              <w:tabs>
                <w:tab w:val="clear" w:pos="1296"/>
                <w:tab w:val="left" w:pos="1276" w:leader="none"/>
              </w:tabs>
              <w:suppressAutoHyphens w:val="true"/>
              <w:spacing w:before="0" w:after="0"/>
              <w:jc w:val="both"/>
              <w:rPr>
                <w:rFonts w:eastAsia="Calibri"/>
                <w:szCs w:val="24"/>
                <w:shd w:fill="FFFFFF" w:val="clear"/>
              </w:rPr>
            </w:pPr>
            <w:r>
              <w:rPr>
                <w:rFonts w:eastAsia="Calibri" w:cs="Times New Roman"/>
                <w:kern w:val="0"/>
                <w:sz w:val="24"/>
                <w:szCs w:val="24"/>
                <w:shd w:fill="FFFFFF" w:val="clear"/>
                <w:lang w:val="lt-LT" w:eastAsia="lt-LT" w:bidi="ar-SA"/>
              </w:rPr>
              <w:t>2.</w:t>
            </w:r>
          </w:p>
        </w:tc>
        <w:tc>
          <w:tcPr>
            <w:tcW w:w="4799" w:type="dxa"/>
            <w:tcBorders/>
          </w:tcPr>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Lektorius Nr. 1.</w:t>
            </w:r>
          </w:p>
          <w:p>
            <w:pPr>
              <w:pStyle w:val="Normal"/>
              <w:widowControl/>
              <w:tabs>
                <w:tab w:val="clear" w:pos="1296"/>
                <w:tab w:val="left" w:pos="1276" w:leader="none"/>
              </w:tabs>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Turėti aukštąjį universitetinį sveikatos, fizinių, gyvybės ar inžinerijos mokslų studijų krypčių išsilavinimą atitinkamai pagal mokymo programos dalyką.</w:t>
            </w:r>
          </w:p>
          <w:p>
            <w:pPr>
              <w:pStyle w:val="Normal"/>
              <w:widowControl/>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Ir turi turėti šią patirtį:</w:t>
            </w:r>
          </w:p>
          <w:p>
            <w:pPr>
              <w:pStyle w:val="Normal"/>
              <w:widowControl/>
              <w:suppressAutoHyphens w:val="true"/>
              <w:spacing w:before="0" w:after="0"/>
              <w:jc w:val="both"/>
              <w:rPr>
                <w:rFonts w:ascii="Calibri" w:hAnsi="Calibri" w:eastAsia="Times New Roman" w:cs="Times New Roman"/>
                <w:kern w:val="0"/>
                <w:sz w:val="20"/>
                <w:szCs w:val="20"/>
                <w:lang w:val="lt-LT" w:eastAsia="lt-LT" w:bidi="ar-SA"/>
              </w:rPr>
            </w:pPr>
            <w:r>
              <w:rPr>
                <w:rFonts w:eastAsia="Calibri" w:cs="Times New Roman"/>
                <w:kern w:val="0"/>
                <w:sz w:val="24"/>
                <w:szCs w:val="24"/>
                <w:shd w:fill="FFFFFF" w:val="clear"/>
                <w:lang w:val="lt-LT" w:eastAsia="lt-LT" w:bidi="ar-SA"/>
              </w:rPr>
              <w:t>- per paskutinius 5 (penkerius)</w:t>
            </w:r>
            <w:r>
              <w:rPr>
                <w:rStyle w:val="FootnoteReference"/>
                <w:rFonts w:eastAsia="Calibri" w:cs="Times New Roman"/>
                <w:kern w:val="0"/>
                <w:sz w:val="24"/>
                <w:szCs w:val="24"/>
                <w:shd w:fill="FFFFFF" w:val="clear"/>
                <w:lang w:val="lt-LT" w:eastAsia="lt-LT" w:bidi="ar-SA"/>
              </w:rPr>
              <w:footnoteReference w:id="2"/>
            </w:r>
            <w:r>
              <w:rPr>
                <w:rFonts w:eastAsia="Calibri" w:cs="Times New Roman"/>
                <w:kern w:val="0"/>
                <w:sz w:val="24"/>
                <w:szCs w:val="24"/>
                <w:shd w:fill="FFFFFF" w:val="clear"/>
                <w:lang w:val="lt-LT" w:eastAsia="lt-LT" w:bidi="ar-SA"/>
              </w:rPr>
              <w:t xml:space="preserve"> metus arba per laiką nuo tiekėjo įregistravimo dienos (jeigu tiekėjas vykdė veiklą trumpiau nei 5 metus)   turi ne mažesnę kaip 12 mėnesių praktinio darbo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16 val. trukmės mokymų vedimo patirtį visuomenės sveikatos saugos srityje.</w:t>
            </w:r>
          </w:p>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suppressAutoHyphens w:val="true"/>
        <w:spacing w:lineRule="auto" w:line="276" w:before="0" w:after="160"/>
        <w:rPr>
          <w:rFonts w:eastAsia="Times New Roman"/>
          <w:iCs/>
          <w:kern w:val="0"/>
          <w:szCs w:val="24"/>
          <w:lang w:eastAsia="lt-LT"/>
          <w14:ligatures w14:val="none"/>
        </w:rPr>
      </w:pP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footnotePr>
        <w:numFmt w:val="decimal"/>
      </w:footnotePr>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FootnoteCharacters"/>
        </w:rPr>
        <w:footnoteRef/>
      </w:r>
      <w:r>
        <w:rPr/>
        <w:tab/>
        <w:t xml:space="preserve"> </w:t>
      </w:r>
      <w:r>
        <w:rPr/>
        <w:t>5 (penkerių) metų laikotarpis nustatytas vadovaujantis Tiekėjo kvalifikacijos reikalavimų nustatymo metodikos, patvirtintos Viešųjų pirkimų tarnybos direktoriaus 2017 m. birželio 29 d. įsakymu Nr. 1S-105 „Dėl Tiekėjo kvalifikacijos reikalavimų nustatymo metodikos patvirtinimo“, 21.1 papunkčiu, kuriame nurodyta, kad siekiant užtikrinti tiekėjų konkurenciją gali būti vertinamas ilgesnis laikotarpis.</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notes" Target="footnotes.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Relationship Id="rId9" Type="http://schemas.openxmlformats.org/officeDocument/2006/relationships/customXml" Target="../customXml/item2.xml"/><Relationship Id="rId10"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6CD7EA-7F67-40F2-B31E-55D44E6CDE14}"/>
</file>

<file path=customXml/itemProps2.xml><?xml version="1.0" encoding="utf-8"?>
<ds:datastoreItem xmlns:ds="http://schemas.openxmlformats.org/officeDocument/2006/customXml" ds:itemID="{6D2C1DF8-341B-4341-8F4E-8AC3674A685A}"/>
</file>

<file path=customXml/itemProps3.xml><?xml version="1.0" encoding="utf-8"?>
<ds:datastoreItem xmlns:ds="http://schemas.openxmlformats.org/officeDocument/2006/customXml" ds:itemID="{EC1A8AA8-08A2-444F-A453-3FD247A8C05B}"/>
</file>

<file path=docProps/app.xml><?xml version="1.0" encoding="utf-8"?>
<Properties xmlns="http://schemas.openxmlformats.org/officeDocument/2006/extended-properties" xmlns:vt="http://schemas.openxmlformats.org/officeDocument/2006/docPropsVTypes">
  <Template>Normal.dotm</Template>
  <TotalTime>4</TotalTime>
  <Application>LibreOffice/7.6.4.1$Windows_X86_64 LibreOffice_project/e19e193f88cd6c0525a17fb7a176ed8e6a3e2aa1</Application>
  <AppVersion>15.0000</AppVersion>
  <Pages>2</Pages>
  <Words>424</Words>
  <Characters>3096</Characters>
  <CharactersWithSpaces>3493</CharactersWithSpaces>
  <Paragraphs>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2026-04-21T13:21:37Z</dcterms:modified>
  <cp:revision>120</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